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211950">
      <w:pPr>
        <w:pStyle w:val="2"/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附件1：</w:t>
      </w:r>
    </w:p>
    <w:p w14:paraId="7D3A403A">
      <w:pPr>
        <w:pStyle w:val="2"/>
        <w:keepNext w:val="0"/>
        <w:keepLines w:val="0"/>
        <w:widowControl/>
        <w:suppressLineNumbers w:val="0"/>
        <w:jc w:val="center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实验室安全工作计划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sz w:val="32"/>
          <w:szCs w:val="32"/>
        </w:rPr>
        <w:t>2026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年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）</w:t>
      </w:r>
    </w:p>
    <w:p w14:paraId="1107411D">
      <w:pPr>
        <w:pStyle w:val="2"/>
        <w:keepNext w:val="0"/>
        <w:keepLines w:val="0"/>
        <w:widowControl/>
        <w:suppressLineNumbers w:val="0"/>
        <w:jc w:val="center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参考范本）</w:t>
      </w:r>
    </w:p>
    <w:p w14:paraId="03A3CCDB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实验室安全责任书签订计划</w:t>
      </w:r>
      <w:r>
        <w:rPr>
          <w:rFonts w:hint="eastAsia" w:ascii="方正仿宋_GB2312" w:hAnsi="方正仿宋_GB2312" w:eastAsia="方正仿宋_GB2312" w:cs="方正仿宋_GB2312"/>
          <w:b w:val="0"/>
          <w:bCs w:val="0"/>
          <w:sz w:val="24"/>
          <w:szCs w:val="24"/>
          <w:lang w:eastAsia="zh-CN"/>
        </w:rPr>
        <w:t>（</w:t>
      </w:r>
      <w:r>
        <w:rPr>
          <w:rFonts w:hint="eastAsia" w:ascii="方正仿宋_GB2312" w:hAnsi="方正仿宋_GB2312" w:eastAsia="方正仿宋_GB2312" w:cs="方正仿宋_GB2312"/>
          <w:b w:val="0"/>
          <w:bCs w:val="0"/>
          <w:sz w:val="24"/>
          <w:szCs w:val="24"/>
          <w:lang w:val="en-US" w:eastAsia="zh-CN"/>
        </w:rPr>
        <w:t>附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1C1F23"/>
          <w:spacing w:val="0"/>
          <w:sz w:val="24"/>
          <w:szCs w:val="24"/>
          <w:shd w:val="clear" w:fill="FFFFFF"/>
          <w:lang w:val="en-US" w:eastAsia="zh-CN"/>
        </w:rPr>
        <w:t>院、实验室两级安全责任书复印件）</w:t>
      </w:r>
    </w:p>
    <w:p w14:paraId="625C136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1. 成立安全工作小组，配齐管理人员，保障经费投入与设施完善。</w:t>
      </w:r>
    </w:p>
    <w:p w14:paraId="7267D48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2. 落实校、院、实验室三级责任体系，完成三级安全责任书签订，实现责任全覆盖。</w:t>
      </w:r>
    </w:p>
    <w:p w14:paraId="54D0690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3. 明确各级责任人职责与问责机制，为不同岗位人员签订个性化责任书。</w:t>
      </w:r>
    </w:p>
    <w:p w14:paraId="36DDC1E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4 建立责任书台账，定期核查落实情况，将其纳入年度安全考核。</w:t>
      </w:r>
    </w:p>
    <w:p w14:paraId="3B01AF5F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>二</w:t>
      </w: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、实验室安全管理制度修订计划</w:t>
      </w:r>
    </w:p>
    <w:p w14:paraId="36F8940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1. 对标校级规定，结合本单位实际，全面梳理现有安全管理制度，排查漏洞与滞后条款。</w:t>
      </w:r>
    </w:p>
    <w:p w14:paraId="65E49EE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2. 明确修订责任与时限，完善贴合实际、可操作的二级单位安全制度，确保可执行、可问责。</w:t>
      </w:r>
    </w:p>
    <w:p w14:paraId="35817974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4"/>
          <w:szCs w:val="24"/>
        </w:rPr>
        <w:t>三、实验室安全检查计划</w:t>
      </w:r>
      <w:r>
        <w:rPr>
          <w:rFonts w:hint="eastAsia" w:ascii="方正仿宋_GB2312" w:hAnsi="方正仿宋_GB2312" w:eastAsia="方正仿宋_GB2312" w:cs="方正仿宋_GB2312"/>
          <w:b w:val="0"/>
          <w:bCs w:val="0"/>
          <w:kern w:val="0"/>
          <w:sz w:val="24"/>
          <w:szCs w:val="24"/>
          <w:lang w:val="en-US" w:eastAsia="zh-CN" w:bidi="ar"/>
        </w:rPr>
        <w:t>（附实验室检查计划表）</w:t>
      </w:r>
    </w:p>
    <w:p w14:paraId="2BBA82C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1. 对照实验室分级分类管理规定，制定年度、季度、月度常态化检查计划，明确检查范围、责任及频次，落实检查责任制。</w:t>
      </w:r>
    </w:p>
    <w:p w14:paraId="7307C5C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2. 开展日常巡查、专项检查及节假日排查，建立检查台账，详细记录相关情况。</w:t>
      </w:r>
    </w:p>
    <w:p w14:paraId="1C3E11C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3. 建立隐患整改闭环管理，明确整改要求并跟踪督办，重大隐患及时上报。</w:t>
      </w:r>
    </w:p>
    <w:p w14:paraId="2CAAC79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四、实验室安全准入执行计划</w:t>
      </w:r>
    </w:p>
    <w:p w14:paraId="6093DD4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1. 严格执行准入制度，所有进入实验室人员需通过考核、签订安全协议后方可准入。</w:t>
      </w:r>
    </w:p>
    <w:p w14:paraId="7EC178F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2. 落实新生网络课程学习及开学安全宣讲，二级及以上风险实验室人员需专项培训考核。</w:t>
      </w:r>
    </w:p>
    <w:p w14:paraId="321180F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3. 规范准入台账，实行准入资格动态管理，确保过程可追溯。</w:t>
      </w:r>
    </w:p>
    <w:p w14:paraId="17CFC4D8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五、实验室安全培训计划</w:t>
      </w:r>
    </w:p>
    <w:p w14:paraId="658DFE8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1. 制定年度培训计划，实现实验室管理人员、师生及新入职人员全覆盖。</w:t>
      </w:r>
    </w:p>
    <w:p w14:paraId="21905ED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2. 结合单位特点设置培训内容，采用更为科学方式提升培训实效。</w:t>
      </w:r>
    </w:p>
    <w:p w14:paraId="42EEFB5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3. 建立培训考核机制，培训资料及考核成绩存档不少于三年。</w:t>
      </w:r>
    </w:p>
    <w:p w14:paraId="65FAB891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六、实验室应急预案执行及安全演练计划</w:t>
      </w:r>
    </w:p>
    <w:p w14:paraId="73AE918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1. 对标校级预案，结合本单位风险特点，修订完善贴合实际、可操作的应急预案，明确责任分工与处置流程。</w:t>
      </w:r>
    </w:p>
    <w:p w14:paraId="459BFCE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2. 加强应急预案宣传解读，确保全员熟悉预案内容及应急器材使用方法。</w:t>
      </w:r>
    </w:p>
    <w:p w14:paraId="743A263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default" w:ascii="方正仿宋_GB2312" w:hAnsi="方正仿宋_GB2312" w:eastAsia="方正仿宋_GB2312" w:cs="方正仿宋_GB2312"/>
          <w:sz w:val="24"/>
          <w:szCs w:val="24"/>
          <w:lang w:val="en-US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3. 制定年度安全演练计划，全年开展不少于1次综合性演练及专项演练（城市建设学院每年不少于2次，其中1次必须是与危险化学品或者危险废物相关专项演练），注重实操性；演练后及时总结评估，优化预案与演练方案，形成闭环管理。</w:t>
      </w:r>
    </w:p>
    <w:p w14:paraId="4C3E238B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default" w:ascii="方正仿宋_GB2312" w:hAnsi="方正仿宋_GB2312" w:eastAsia="方正仿宋_GB2312" w:cs="方正仿宋_GB2312"/>
          <w:sz w:val="24"/>
          <w:szCs w:val="24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七、实验室分级分类及安全信息门牌更新计划</w:t>
      </w:r>
      <w:r>
        <w:rPr>
          <w:rFonts w:hint="eastAsia" w:ascii="方正仿宋_GB2312" w:hAnsi="方正仿宋_GB2312" w:eastAsia="方正仿宋_GB2312" w:cs="方正仿宋_GB2312"/>
          <w:sz w:val="24"/>
          <w:szCs w:val="24"/>
          <w:lang w:eastAsia="zh-CN"/>
        </w:rPr>
        <w:t>（</w:t>
      </w: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>附分级分类表及门牌信息表）</w:t>
      </w:r>
    </w:p>
    <w:p w14:paraId="13C0735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1. 按照校级要求，对所有实验室进行分级分类，明确各级管理标准与防控要求。</w:t>
      </w:r>
    </w:p>
    <w:p w14:paraId="04D30AE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2. 全面排查安全信息门牌，及时更新完善核心信息，确保准确完整。</w:t>
      </w:r>
    </w:p>
    <w:p w14:paraId="1678CDD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3. 建立相关管理台账，定期核查调整，确保分级分类落地、安全信息可查。</w:t>
      </w:r>
    </w:p>
    <w:p w14:paraId="7807F8A2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default" w:ascii="方正仿宋_GB2312" w:hAnsi="方正仿宋_GB2312" w:eastAsia="方正仿宋_GB2312" w:cs="方正仿宋_GB2312"/>
          <w:sz w:val="24"/>
          <w:szCs w:val="24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八、</w:t>
      </w: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>危险化学品管理计划</w:t>
      </w:r>
    </w:p>
    <w:p w14:paraId="24C93D5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1. 梳理危险化学品采购、储存、使用、废弃全流程管理台账。</w:t>
      </w:r>
    </w:p>
    <w:p w14:paraId="611FF44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</w:pPr>
      <w:r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  <w:t>2. 加强使用环节管控，明确使用责任人及操作规范，废弃危险化学品按规定妥善处置，全程可追溯。</w:t>
      </w:r>
    </w:p>
    <w:p w14:paraId="672C6D6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方正仿宋_GB2312" w:hAnsi="方正仿宋_GB2312" w:eastAsia="方正仿宋_GB2312" w:cs="方正仿宋_GB2312"/>
          <w:kern w:val="0"/>
          <w:sz w:val="24"/>
          <w:szCs w:val="24"/>
          <w:lang w:val="en-US" w:eastAsia="zh-CN" w:bidi="ar"/>
        </w:rPr>
      </w:pPr>
    </w:p>
    <w:p w14:paraId="704037E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48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sz w:val="24"/>
          <w:szCs w:val="24"/>
        </w:rPr>
      </w:pPr>
    </w:p>
    <w:sectPr>
      <w:pgSz w:w="11906" w:h="16838"/>
      <w:pgMar w:top="1240" w:right="1800" w:bottom="111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EEB1083-90AF-4888-8DC0-4E7762C263B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4061F471-9366-4DDB-AFC9-7B7AFEE3D26E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D859F49"/>
    <w:multiLevelType w:val="singleLevel"/>
    <w:tmpl w:val="1D859F4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936DDB"/>
    <w:rsid w:val="005B5305"/>
    <w:rsid w:val="0580326D"/>
    <w:rsid w:val="17936DDB"/>
    <w:rsid w:val="25A02D28"/>
    <w:rsid w:val="367877E8"/>
    <w:rsid w:val="41F03C7A"/>
    <w:rsid w:val="500A4F75"/>
    <w:rsid w:val="69675574"/>
    <w:rsid w:val="76CB6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1051</Words>
  <Characters>1076</Characters>
  <Lines>0</Lines>
  <Paragraphs>0</Paragraphs>
  <TotalTime>2</TotalTime>
  <ScaleCrop>false</ScaleCrop>
  <LinksUpToDate>false</LinksUpToDate>
  <CharactersWithSpaces>1099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2026-03-13T08:06:00Z</dcterms:created>
  <dc:creator>爱踢球的泡泡</dc:creator>
  <cp:lastModifiedBy>爱踢球的泡泡</cp:lastModifiedBy>
  <dcterms:modified xsi:type="dcterms:W3CDTF">2026-03-16T07:00:27Z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2D1562E218944CEC9290DDD1D12DC7BF_11</vt:lpwstr>
  </property>
  <property fmtid="{D5CDD505-2E9C-101B-9397-08002B2CF9AE}" pid="4" name="KSOTemplateDocerSaveRecord">
    <vt:lpwstr>eyJoZGlkIjoiYTk0ZTYwMDFiYzQ4NTc5Y2NjYTRjODhhM2Y1ZTI4ZWQiLCJ1c2VySWQiOiIyNjY3MDIwMzQifQ==</vt:lpwstr>
  </property>
</Properties>
</file>